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25ECE" w14:textId="5C454707" w:rsidR="00F364D1" w:rsidRDefault="00F364D1" w:rsidP="00F364D1">
      <w:pPr>
        <w:pStyle w:val="3GPPHeader"/>
        <w:snapToGrid w:val="0"/>
        <w:spacing w:after="0" w:line="240" w:lineRule="auto"/>
        <w:rPr>
          <w:rFonts w:ascii="Arial" w:eastAsia="宋体" w:hAnsi="Arial" w:cs="Arial"/>
          <w:bCs/>
          <w:sz w:val="20"/>
          <w:lang w:eastAsia="en-US"/>
        </w:rPr>
      </w:pPr>
      <w:bookmarkStart w:id="0" w:name="_Hlk492190689"/>
      <w:r w:rsidRPr="00F364D1">
        <w:rPr>
          <w:rFonts w:ascii="Arial" w:eastAsia="宋体" w:hAnsi="Arial" w:cs="Arial"/>
          <w:bCs/>
          <w:sz w:val="20"/>
          <w:lang w:eastAsia="en-US"/>
        </w:rPr>
        <w:t>3GPP TSG RAN WG1 #119</w:t>
      </w:r>
      <w:r>
        <w:rPr>
          <w:rFonts w:ascii="Arial" w:eastAsia="宋体" w:hAnsi="Arial" w:cs="Arial"/>
          <w:bCs/>
          <w:sz w:val="20"/>
          <w:lang w:eastAsia="en-US"/>
        </w:rPr>
        <w:tab/>
      </w:r>
      <w:r w:rsidR="009E05E3" w:rsidRPr="009E05E3">
        <w:rPr>
          <w:rFonts w:ascii="Arial" w:eastAsia="宋体" w:hAnsi="Arial" w:cs="Arial"/>
          <w:bCs/>
          <w:sz w:val="20"/>
          <w:lang w:eastAsia="en-US"/>
        </w:rPr>
        <w:t>R1-241091</w:t>
      </w:r>
      <w:r w:rsidR="00947792">
        <w:rPr>
          <w:rFonts w:ascii="Arial" w:eastAsia="宋体" w:hAnsi="Arial" w:cs="Arial"/>
          <w:bCs/>
          <w:sz w:val="20"/>
          <w:lang w:eastAsia="en-US"/>
        </w:rPr>
        <w:t>4</w:t>
      </w:r>
      <w:bookmarkStart w:id="1" w:name="_GoBack"/>
      <w:bookmarkEnd w:id="1"/>
    </w:p>
    <w:p w14:paraId="6256AE8E" w14:textId="531612F7" w:rsidR="00E93E89" w:rsidRDefault="00F364D1" w:rsidP="00F364D1">
      <w:pPr>
        <w:pStyle w:val="3GPPHeader"/>
        <w:snapToGrid w:val="0"/>
        <w:spacing w:after="0" w:line="240" w:lineRule="auto"/>
        <w:rPr>
          <w:rFonts w:ascii="Arial" w:eastAsia="宋体" w:hAnsi="Arial" w:cs="Arial"/>
          <w:bCs/>
          <w:sz w:val="20"/>
          <w:lang w:eastAsia="en-US"/>
        </w:rPr>
      </w:pPr>
      <w:r w:rsidRPr="00F364D1">
        <w:rPr>
          <w:rFonts w:ascii="Arial" w:eastAsia="宋体" w:hAnsi="Arial" w:cs="Arial"/>
          <w:bCs/>
          <w:sz w:val="20"/>
          <w:lang w:eastAsia="en-US"/>
        </w:rPr>
        <w:t>Orlando, US, November 18</w:t>
      </w:r>
      <w:r w:rsidRPr="00F063BA">
        <w:rPr>
          <w:rFonts w:ascii="Arial" w:eastAsia="宋体" w:hAnsi="Arial" w:cs="Arial"/>
          <w:bCs/>
          <w:sz w:val="20"/>
          <w:vertAlign w:val="superscript"/>
          <w:lang w:eastAsia="en-US"/>
        </w:rPr>
        <w:t>th</w:t>
      </w:r>
      <w:r w:rsidRPr="00F364D1">
        <w:rPr>
          <w:rFonts w:ascii="Arial" w:eastAsia="宋体" w:hAnsi="Arial" w:cs="Arial"/>
          <w:bCs/>
          <w:sz w:val="20"/>
          <w:lang w:eastAsia="en-US"/>
        </w:rPr>
        <w:t xml:space="preserve"> – 22</w:t>
      </w:r>
      <w:r w:rsidRPr="00F063BA">
        <w:rPr>
          <w:rFonts w:ascii="Arial" w:eastAsia="宋体" w:hAnsi="Arial" w:cs="Arial"/>
          <w:bCs/>
          <w:sz w:val="20"/>
          <w:vertAlign w:val="superscript"/>
          <w:lang w:eastAsia="en-US"/>
        </w:rPr>
        <w:t>nd</w:t>
      </w:r>
      <w:r w:rsidRPr="00F364D1">
        <w:rPr>
          <w:rFonts w:ascii="Arial" w:eastAsia="宋体" w:hAnsi="Arial" w:cs="Arial"/>
          <w:bCs/>
          <w:sz w:val="20"/>
          <w:lang w:eastAsia="en-US"/>
        </w:rPr>
        <w:t>, 2024</w:t>
      </w:r>
    </w:p>
    <w:p w14:paraId="4C8F0FCF" w14:textId="27BEE845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p w14:paraId="61E16652" w14:textId="77777777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7C6CB6A7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84DD7" w:rsidRPr="00F84DD7">
        <w:rPr>
          <w:rFonts w:ascii="Arial" w:hAnsi="Arial" w:cs="Arial"/>
        </w:rPr>
        <w:t>LS to RAN</w:t>
      </w:r>
      <w:r w:rsidR="00F063BA">
        <w:rPr>
          <w:rFonts w:ascii="Arial" w:hAnsi="Arial" w:cs="Arial"/>
        </w:rPr>
        <w:t>4</w:t>
      </w:r>
      <w:r w:rsidR="00F84DD7" w:rsidRPr="00F84DD7">
        <w:rPr>
          <w:rFonts w:ascii="Arial" w:hAnsi="Arial" w:cs="Arial"/>
        </w:rPr>
        <w:t xml:space="preserve"> on </w:t>
      </w:r>
      <w:r w:rsidR="00C1623C">
        <w:rPr>
          <w:rFonts w:ascii="Arial" w:hAnsi="Arial" w:cs="Arial"/>
        </w:rPr>
        <w:t xml:space="preserve">event-instance </w:t>
      </w:r>
      <w:r w:rsidR="00C1623C" w:rsidRPr="00C1623C">
        <w:rPr>
          <w:rFonts w:ascii="Arial" w:hAnsi="Arial" w:cs="Arial"/>
        </w:rPr>
        <w:t xml:space="preserve">evaluation periodicity for </w:t>
      </w:r>
      <w:r w:rsidR="00F063BA" w:rsidRPr="00F063BA">
        <w:rPr>
          <w:rFonts w:ascii="Arial" w:hAnsi="Arial" w:cs="Arial"/>
        </w:rPr>
        <w:t>UE-initiated/event-driven beam management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3A3BE34D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34B47">
        <w:rPr>
          <w:rFonts w:ascii="Arial" w:hAnsi="Arial" w:cs="Arial"/>
          <w:bCs/>
        </w:rPr>
        <w:t>RAN1</w:t>
      </w:r>
    </w:p>
    <w:p w14:paraId="2C7502EB" w14:textId="3EF7FF95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F063BA">
        <w:rPr>
          <w:rFonts w:ascii="Arial" w:hAnsi="Arial" w:cs="Arial"/>
          <w:bCs/>
        </w:rPr>
        <w:t>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47D52711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063BA">
        <w:rPr>
          <w:rFonts w:cs="Arial"/>
        </w:rPr>
        <w:t>Bo Gao</w:t>
      </w:r>
    </w:p>
    <w:p w14:paraId="74E0AF1D" w14:textId="43316D83" w:rsidR="00F063BA" w:rsidRDefault="00E800D2" w:rsidP="00F063BA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F063BA" w:rsidRPr="00AA39F4">
          <w:rPr>
            <w:rStyle w:val="Hyperlink"/>
            <w:rFonts w:cs="Arial"/>
          </w:rPr>
          <w:t>gao.bo1@zte.com.cn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11C11C2E" w:rsidR="00EE1FDB" w:rsidRDefault="00F063BA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RAN1#119, regarding </w:t>
      </w:r>
      <w:r w:rsidRPr="00F063BA">
        <w:rPr>
          <w:sz w:val="22"/>
          <w:szCs w:val="22"/>
        </w:rPr>
        <w:t>UE-initiated/event-driven beam management for Rel-19 NR MIMO Ph5</w:t>
      </w:r>
      <w:r>
        <w:rPr>
          <w:sz w:val="22"/>
          <w:szCs w:val="22"/>
        </w:rPr>
        <w:t>, the following agreement on the evaluation periodicity for determining Event-2 instance was reached:</w:t>
      </w:r>
    </w:p>
    <w:p w14:paraId="6E6F398B" w14:textId="3BFF78B1" w:rsidR="00F063BA" w:rsidRDefault="00F063BA" w:rsidP="007F1A8A">
      <w:pPr>
        <w:snapToGrid w:val="0"/>
        <w:jc w:val="both"/>
        <w:rPr>
          <w:sz w:val="22"/>
          <w:szCs w:val="22"/>
        </w:rPr>
      </w:pPr>
    </w:p>
    <w:p w14:paraId="52C5E70E" w14:textId="0D3DEC3D" w:rsidR="00F063BA" w:rsidRDefault="00F063BA" w:rsidP="007F1A8A">
      <w:pPr>
        <w:snapToGrid w:val="0"/>
        <w:jc w:val="both"/>
        <w:rPr>
          <w:sz w:val="22"/>
          <w:szCs w:val="22"/>
        </w:rPr>
      </w:pPr>
    </w:p>
    <w:p w14:paraId="37A4A50E" w14:textId="77777777" w:rsidR="00F063BA" w:rsidRPr="000B132D" w:rsidRDefault="00F063BA" w:rsidP="00F063BA">
      <w:pPr>
        <w:rPr>
          <w:rFonts w:eastAsia="等线"/>
          <w:b/>
          <w:bCs/>
          <w:lang w:val="en-CA"/>
        </w:rPr>
      </w:pPr>
      <w:r w:rsidRPr="000B132D">
        <w:rPr>
          <w:rFonts w:eastAsia="等线"/>
          <w:b/>
          <w:bCs/>
          <w:highlight w:val="green"/>
          <w:lang w:val="en-CA"/>
        </w:rPr>
        <w:t>Agreement</w:t>
      </w:r>
    </w:p>
    <w:p w14:paraId="16FE608C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 xml:space="preserve">Regarding for the evaluation periodicity for determining Event-2 instance [at least when DRX is not configured], at least </w:t>
      </w:r>
      <w:r w:rsidRPr="00F063BA">
        <w:rPr>
          <w:b/>
        </w:rPr>
        <w:t>Alt-1</w:t>
      </w:r>
      <w:r w:rsidRPr="00F063BA">
        <w:t xml:space="preserve"> is supported for the single-CC beam reporting (for case that the CSI report configuration and RS for the current beam and new beam(s) are in the same CC).</w:t>
      </w:r>
    </w:p>
    <w:p w14:paraId="37CAA1E4" w14:textId="77777777" w:rsidR="00F063BA" w:rsidRPr="00F063BA" w:rsidRDefault="00F063BA" w:rsidP="00F063BA">
      <w:pPr>
        <w:numPr>
          <w:ilvl w:val="0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Alt-1: The periodicity of the current beam RS should be the same as that of the new beam RS(s).</w:t>
      </w:r>
    </w:p>
    <w:p w14:paraId="73B1892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The evaluation periodicity is the same as the periodicity of the current and new beam RS(s).</w:t>
      </w:r>
    </w:p>
    <w:p w14:paraId="7CE7C1DB" w14:textId="77777777" w:rsidR="00F063BA" w:rsidRPr="00F063BA" w:rsidRDefault="00F063BA" w:rsidP="00F063BA">
      <w:pPr>
        <w:numPr>
          <w:ilvl w:val="0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Alt-2: The periodicity of the current beam RS can be different from that of the new beam RS(s)</w:t>
      </w:r>
    </w:p>
    <w:p w14:paraId="6204F85A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Alt-2_1: The evaluation periodicity is the same as the periodicity of the current beam RS. </w:t>
      </w:r>
    </w:p>
    <w:p w14:paraId="73B8700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Alt-2_2: The evaluation periodicity is the same as periodicity of the new beam RS.</w:t>
      </w:r>
    </w:p>
    <w:p w14:paraId="05AECCDC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Alt-2_3: The evaluation periodicity is the same as shortest periodicity of the current beam RS and new beam RS(s). </w:t>
      </w:r>
    </w:p>
    <w:p w14:paraId="1DF5C16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Alt-2_4: The evaluation periodicity is the maximum of {X </w:t>
      </w:r>
      <w:proofErr w:type="spellStart"/>
      <w:r w:rsidRPr="00F063BA">
        <w:rPr>
          <w:rFonts w:cs="Times"/>
        </w:rPr>
        <w:t>ms</w:t>
      </w:r>
      <w:proofErr w:type="spellEnd"/>
      <w:r w:rsidRPr="00F063BA">
        <w:rPr>
          <w:rFonts w:cs="Times"/>
        </w:rPr>
        <w:t>, shortest periodicity of the current beam RS and new beam RS(s)}.</w:t>
      </w:r>
    </w:p>
    <w:p w14:paraId="78097012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Alt-2_5: The evaluation periodicity is the same as largest periodicity of the current beam RS and new beam RS(s).</w:t>
      </w:r>
    </w:p>
    <w:p w14:paraId="1D1D52B6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>Note: There is the same periodicity for the new beam RS(s).</w:t>
      </w:r>
    </w:p>
    <w:p w14:paraId="08FAC073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>FFS: Down-selection among above Alt(s) for cross-CC beam reporting.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5EC89938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F063BA">
        <w:rPr>
          <w:rFonts w:ascii="Arial" w:hAnsi="Arial" w:cs="Arial"/>
          <w:b/>
          <w:lang w:eastAsia="zh-CN"/>
        </w:rPr>
        <w:t>4</w:t>
      </w:r>
    </w:p>
    <w:p w14:paraId="5860058A" w14:textId="558889FE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F063BA">
        <w:rPr>
          <w:iCs/>
          <w:color w:val="000000"/>
          <w:sz w:val="22"/>
          <w:szCs w:val="22"/>
          <w:lang w:eastAsia="ko-KR"/>
        </w:rPr>
        <w:t>4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F063BA">
      <w:pPr>
        <w:tabs>
          <w:tab w:val="left" w:pos="5507"/>
        </w:tabs>
        <w:snapToGrid w:val="0"/>
        <w:spacing w:after="120"/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1CCAA449" w14:textId="3BE92950" w:rsidR="001B7A8C" w:rsidRDefault="001B7A8C" w:rsidP="00F063BA">
      <w:pPr>
        <w:tabs>
          <w:tab w:val="left" w:pos="5103"/>
        </w:tabs>
        <w:snapToGrid w:val="0"/>
        <w:spacing w:after="12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</w:t>
      </w:r>
      <w:r w:rsidRPr="00115C5B">
        <w:rPr>
          <w:bCs/>
          <w:sz w:val="22"/>
          <w:szCs w:val="22"/>
        </w:rPr>
        <w:t xml:space="preserve">                   </w:t>
      </w:r>
      <w:r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732390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 w:rsidR="00F063BA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ab/>
        <w:t>Athens, Greece</w:t>
      </w:r>
    </w:p>
    <w:p w14:paraId="4ED07693" w14:textId="6DF297E9" w:rsidR="00F063BA" w:rsidRDefault="00F063BA" w:rsidP="00F063BA">
      <w:pPr>
        <w:tabs>
          <w:tab w:val="left" w:pos="5103"/>
        </w:tabs>
        <w:snapToGrid w:val="0"/>
        <w:spacing w:after="12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20-bis</w:t>
      </w:r>
      <w:r w:rsidRPr="00115C5B">
        <w:rPr>
          <w:bCs/>
          <w:sz w:val="22"/>
          <w:szCs w:val="22"/>
        </w:rPr>
        <w:t xml:space="preserve">             </w:t>
      </w:r>
      <w:r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11</w:t>
      </w:r>
      <w:r w:rsidRPr="00F063BA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April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               TBD, China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D0080" w14:textId="77777777" w:rsidR="006A70AA" w:rsidRDefault="006A70AA" w:rsidP="00A0385F">
      <w:r>
        <w:separator/>
      </w:r>
    </w:p>
  </w:endnote>
  <w:endnote w:type="continuationSeparator" w:id="0">
    <w:p w14:paraId="642B67F3" w14:textId="77777777" w:rsidR="006A70AA" w:rsidRDefault="006A70A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9B66F" w14:textId="77777777" w:rsidR="006A70AA" w:rsidRDefault="006A70AA" w:rsidP="00A0385F">
      <w:r>
        <w:separator/>
      </w:r>
    </w:p>
  </w:footnote>
  <w:footnote w:type="continuationSeparator" w:id="0">
    <w:p w14:paraId="5B4E60F7" w14:textId="77777777" w:rsidR="006A70AA" w:rsidRDefault="006A70A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9"/>
  </w:num>
  <w:num w:numId="9">
    <w:abstractNumId w:val="5"/>
  </w:num>
  <w:num w:numId="10">
    <w:abstractNumId w:val="24"/>
  </w:num>
  <w:num w:numId="11">
    <w:abstractNumId w:val="30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6"/>
  </w:num>
  <w:num w:numId="15">
    <w:abstractNumId w:val="31"/>
  </w:num>
  <w:num w:numId="16">
    <w:abstractNumId w:val="11"/>
  </w:num>
  <w:num w:numId="17">
    <w:abstractNumId w:val="33"/>
  </w:num>
  <w:num w:numId="18">
    <w:abstractNumId w:val="12"/>
  </w:num>
  <w:num w:numId="19">
    <w:abstractNumId w:val="2"/>
  </w:num>
  <w:num w:numId="20">
    <w:abstractNumId w:val="4"/>
  </w:num>
  <w:num w:numId="21">
    <w:abstractNumId w:val="32"/>
  </w:num>
  <w:num w:numId="22">
    <w:abstractNumId w:val="19"/>
  </w:num>
  <w:num w:numId="23">
    <w:abstractNumId w:val="13"/>
  </w:num>
  <w:num w:numId="24">
    <w:abstractNumId w:val="26"/>
  </w:num>
  <w:num w:numId="25">
    <w:abstractNumId w:val="8"/>
  </w:num>
  <w:num w:numId="26">
    <w:abstractNumId w:val="16"/>
  </w:num>
  <w:num w:numId="27">
    <w:abstractNumId w:val="0"/>
  </w:num>
  <w:num w:numId="28">
    <w:abstractNumId w:val="25"/>
  </w:num>
  <w:num w:numId="29">
    <w:abstractNumId w:val="6"/>
  </w:num>
  <w:num w:numId="30">
    <w:abstractNumId w:val="34"/>
  </w:num>
  <w:num w:numId="31">
    <w:abstractNumId w:val="1"/>
  </w:num>
  <w:num w:numId="32">
    <w:abstractNumId w:val="37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 w:numId="37">
    <w:abstractNumId w:val="35"/>
  </w:num>
  <w:num w:numId="38">
    <w:abstractNumId w:val="27"/>
  </w:num>
  <w:num w:numId="39">
    <w:abstractNumId w:val="23"/>
  </w:num>
  <w:num w:numId="40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4B47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4E31"/>
    <w:rsid w:val="00216E1E"/>
    <w:rsid w:val="002179C9"/>
    <w:rsid w:val="002227C7"/>
    <w:rsid w:val="0022433F"/>
    <w:rsid w:val="0022582D"/>
    <w:rsid w:val="00225A30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3107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664D1"/>
    <w:rsid w:val="00470DCC"/>
    <w:rsid w:val="0047208B"/>
    <w:rsid w:val="0047251C"/>
    <w:rsid w:val="0048165E"/>
    <w:rsid w:val="0048749E"/>
    <w:rsid w:val="00487B76"/>
    <w:rsid w:val="004960D7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6E02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A70AA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5AAF"/>
    <w:rsid w:val="0094779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66FE"/>
    <w:rsid w:val="009C7774"/>
    <w:rsid w:val="009D2049"/>
    <w:rsid w:val="009D325A"/>
    <w:rsid w:val="009D7595"/>
    <w:rsid w:val="009E05E3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1623C"/>
    <w:rsid w:val="00C3489C"/>
    <w:rsid w:val="00C439D2"/>
    <w:rsid w:val="00C51444"/>
    <w:rsid w:val="00C54AE6"/>
    <w:rsid w:val="00C55D96"/>
    <w:rsid w:val="00C56294"/>
    <w:rsid w:val="00C56478"/>
    <w:rsid w:val="00C6191A"/>
    <w:rsid w:val="00C626AA"/>
    <w:rsid w:val="00C67B3B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3CBE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1812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063BA"/>
    <w:rsid w:val="00F14197"/>
    <w:rsid w:val="00F201E9"/>
    <w:rsid w:val="00F23259"/>
    <w:rsid w:val="00F2757D"/>
    <w:rsid w:val="00F279B5"/>
    <w:rsid w:val="00F344F5"/>
    <w:rsid w:val="00F35473"/>
    <w:rsid w:val="00F364D1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F06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.bo1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73E6A-CF01-466E-B178-A1B4C29B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ZTE-Bo</cp:lastModifiedBy>
  <cp:revision>9</cp:revision>
  <cp:lastPrinted>2002-04-23T06:10:00Z</cp:lastPrinted>
  <dcterms:created xsi:type="dcterms:W3CDTF">2024-11-22T10:38:00Z</dcterms:created>
  <dcterms:modified xsi:type="dcterms:W3CDTF">2024-11-22T18:24:00Z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